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388" w:rsidRPr="00E47581" w:rsidRDefault="00677E07">
      <w:pPr>
        <w:tabs>
          <w:tab w:val="left" w:pos="6480"/>
        </w:tabs>
        <w:spacing w:before="12" w:after="595" w:line="280" w:lineRule="exact"/>
        <w:ind w:left="72"/>
        <w:textAlignment w:val="baseline"/>
        <w:rPr>
          <w:rFonts w:ascii="Arial" w:eastAsia="Arial" w:hAnsi="Arial"/>
          <w:b/>
          <w:color w:val="000000"/>
          <w:spacing w:val="-1"/>
          <w:sz w:val="26"/>
          <w:lang w:val="fr-FR"/>
        </w:rPr>
      </w:pPr>
      <w:r>
        <w:pict>
          <v:shapetype id="_x0000_t202" coordsize="21600,21600" o:spt="202" path="m,l,21600r21600,l21600,xe">
            <v:stroke joinstyle="miter"/>
            <v:path gradientshapeok="t" o:connecttype="rect"/>
          </v:shapetype>
          <v:shape id="_x0000_s0" o:spid="_x0000_s1026" type="#_x0000_t202" alt="" style="position:absolute;left:0;text-align:left;margin-left:64.8pt;margin-top:1in;width:467.05pt;height:129.15pt;z-index:-251658752;mso-wrap-style:square;mso-wrap-edited:f;mso-width-percent:0;mso-height-percent:0;mso-wrap-distance-left:0;mso-wrap-distance-right:0;mso-position-horizontal-relative:page;mso-position-vertical-relative:page;mso-width-percent:0;mso-height-percent:0;v-text-anchor:top"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4917"/>
                    <w:gridCol w:w="2232"/>
                    <w:gridCol w:w="2192"/>
                  </w:tblGrid>
                  <w:tr w:rsidR="000D7388">
                    <w:trPr>
                      <w:trHeight w:hRule="exact" w:val="739"/>
                    </w:trPr>
                    <w:tc>
                      <w:tcPr>
                        <w:tcW w:w="4917" w:type="dxa"/>
                        <w:vMerge w:val="restart"/>
                        <w:tcBorders>
                          <w:top w:val="none" w:sz="0" w:space="0" w:color="000000"/>
                          <w:left w:val="none" w:sz="0" w:space="0" w:color="000000"/>
                          <w:bottom w:val="single" w:sz="0" w:space="0" w:color="000000"/>
                          <w:right w:val="none" w:sz="0" w:space="0" w:color="000000"/>
                        </w:tcBorders>
                      </w:tcPr>
                      <w:p w:rsidR="000D7388" w:rsidRDefault="007B31A2">
                        <w:pPr>
                          <w:spacing w:before="19" w:after="10"/>
                          <w:ind w:left="105"/>
                          <w:textAlignment w:val="baseline"/>
                        </w:pPr>
                        <w:r>
                          <w:rPr>
                            <w:noProof/>
                          </w:rPr>
                          <w:drawing>
                            <wp:inline distT="0" distB="0" distL="0" distR="0">
                              <wp:extent cx="2785745" cy="92392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4"/>
                                      <a:stretch>
                                        <a:fillRect/>
                                      </a:stretch>
                                    </pic:blipFill>
                                    <pic:spPr>
                                      <a:xfrm>
                                        <a:off x="0" y="0"/>
                                        <a:ext cx="2785745" cy="923925"/>
                                      </a:xfrm>
                                      <a:prstGeom prst="rect">
                                        <a:avLst/>
                                      </a:prstGeom>
                                    </pic:spPr>
                                  </pic:pic>
                                </a:graphicData>
                              </a:graphic>
                            </wp:inline>
                          </w:drawing>
                        </w:r>
                      </w:p>
                    </w:tc>
                    <w:tc>
                      <w:tcPr>
                        <w:tcW w:w="2232" w:type="dxa"/>
                        <w:vMerge w:val="restart"/>
                        <w:tcBorders>
                          <w:top w:val="none" w:sz="0" w:space="0" w:color="000000"/>
                          <w:left w:val="none" w:sz="0" w:space="0" w:color="000000"/>
                          <w:bottom w:val="single" w:sz="0" w:space="0" w:color="000000"/>
                          <w:right w:val="none" w:sz="0" w:space="0" w:color="000000"/>
                        </w:tcBorders>
                      </w:tcPr>
                      <w:p w:rsidR="000D7388" w:rsidRDefault="007B31A2">
                        <w:pPr>
                          <w:spacing w:before="19" w:after="10"/>
                          <w:ind w:right="270"/>
                          <w:jc w:val="right"/>
                          <w:textAlignment w:val="baseline"/>
                        </w:pPr>
                        <w:r>
                          <w:rPr>
                            <w:noProof/>
                          </w:rPr>
                          <w:drawing>
                            <wp:inline distT="0" distB="0" distL="0" distR="0">
                              <wp:extent cx="975360" cy="932815"/>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5"/>
                                      <a:stretch>
                                        <a:fillRect/>
                                      </a:stretch>
                                    </pic:blipFill>
                                    <pic:spPr>
                                      <a:xfrm>
                                        <a:off x="0" y="0"/>
                                        <a:ext cx="975360" cy="932815"/>
                                      </a:xfrm>
                                      <a:prstGeom prst="rect">
                                        <a:avLst/>
                                      </a:prstGeom>
                                    </pic:spPr>
                                  </pic:pic>
                                </a:graphicData>
                              </a:graphic>
                            </wp:inline>
                          </w:drawing>
                        </w:r>
                      </w:p>
                    </w:tc>
                    <w:tc>
                      <w:tcPr>
                        <w:tcW w:w="2192" w:type="dxa"/>
                        <w:tcBorders>
                          <w:top w:val="none" w:sz="0" w:space="0" w:color="000000"/>
                          <w:left w:val="none" w:sz="0" w:space="0" w:color="000000"/>
                          <w:bottom w:val="none" w:sz="0" w:space="0" w:color="000000"/>
                          <w:right w:val="none" w:sz="0" w:space="0" w:color="000000"/>
                        </w:tcBorders>
                      </w:tcPr>
                      <w:p w:rsidR="000D7388" w:rsidRDefault="007B31A2">
                        <w:pPr>
                          <w:spacing w:before="19"/>
                          <w:jc w:val="right"/>
                          <w:textAlignment w:val="baseline"/>
                        </w:pPr>
                        <w:r>
                          <w:rPr>
                            <w:noProof/>
                          </w:rPr>
                          <w:drawing>
                            <wp:inline distT="0" distB="0" distL="0" distR="0">
                              <wp:extent cx="1210310" cy="39306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6"/>
                                      <a:stretch>
                                        <a:fillRect/>
                                      </a:stretch>
                                    </pic:blipFill>
                                    <pic:spPr>
                                      <a:xfrm>
                                        <a:off x="0" y="0"/>
                                        <a:ext cx="1210310" cy="393065"/>
                                      </a:xfrm>
                                      <a:prstGeom prst="rect">
                                        <a:avLst/>
                                      </a:prstGeom>
                                    </pic:spPr>
                                  </pic:pic>
                                </a:graphicData>
                              </a:graphic>
                            </wp:inline>
                          </w:drawing>
                        </w:r>
                      </w:p>
                    </w:tc>
                  </w:tr>
                  <w:tr w:rsidR="000D7388">
                    <w:trPr>
                      <w:trHeight w:hRule="exact" w:val="908"/>
                    </w:trPr>
                    <w:tc>
                      <w:tcPr>
                        <w:tcW w:w="4917" w:type="dxa"/>
                        <w:vMerge/>
                        <w:tcBorders>
                          <w:top w:val="single" w:sz="0" w:space="0" w:color="000000"/>
                          <w:left w:val="none" w:sz="0" w:space="0" w:color="000000"/>
                          <w:bottom w:val="none" w:sz="0" w:space="0" w:color="000000"/>
                          <w:right w:val="none" w:sz="0" w:space="0" w:color="000000"/>
                        </w:tcBorders>
                      </w:tcPr>
                      <w:p w:rsidR="000D7388" w:rsidRDefault="000D7388"/>
                    </w:tc>
                    <w:tc>
                      <w:tcPr>
                        <w:tcW w:w="2232" w:type="dxa"/>
                        <w:vMerge/>
                        <w:tcBorders>
                          <w:top w:val="single" w:sz="0" w:space="0" w:color="000000"/>
                          <w:left w:val="none" w:sz="0" w:space="0" w:color="000000"/>
                          <w:bottom w:val="none" w:sz="0" w:space="0" w:color="000000"/>
                          <w:right w:val="none" w:sz="0" w:space="0" w:color="000000"/>
                        </w:tcBorders>
                      </w:tcPr>
                      <w:p w:rsidR="000D7388" w:rsidRDefault="000D7388"/>
                    </w:tc>
                    <w:tc>
                      <w:tcPr>
                        <w:tcW w:w="2192" w:type="dxa"/>
                        <w:tcBorders>
                          <w:top w:val="none" w:sz="0" w:space="0" w:color="000000"/>
                          <w:left w:val="none" w:sz="0" w:space="0" w:color="000000"/>
                          <w:bottom w:val="none" w:sz="0" w:space="0" w:color="000000"/>
                          <w:right w:val="none" w:sz="0" w:space="0" w:color="000000"/>
                        </w:tcBorders>
                        <w:vAlign w:val="bottom"/>
                      </w:tcPr>
                      <w:p w:rsidR="000D7388" w:rsidRDefault="007B31A2">
                        <w:pPr>
                          <w:spacing w:before="434" w:after="182" w:line="286" w:lineRule="exact"/>
                          <w:ind w:right="955"/>
                          <w:jc w:val="right"/>
                          <w:textAlignment w:val="baseline"/>
                          <w:rPr>
                            <w:rFonts w:ascii="Century Gothic" w:eastAsia="Century Gothic" w:hAnsi="Century Gothic"/>
                            <w:b/>
                            <w:color w:val="000000"/>
                            <w:sz w:val="24"/>
                          </w:rPr>
                        </w:pPr>
                        <w:r>
                          <w:rPr>
                            <w:rFonts w:ascii="Century Gothic" w:eastAsia="Century Gothic" w:hAnsi="Century Gothic"/>
                            <w:b/>
                            <w:color w:val="000000"/>
                            <w:sz w:val="24"/>
                          </w:rPr>
                          <w:t>AMVH</w:t>
                        </w:r>
                      </w:p>
                    </w:tc>
                  </w:tr>
                </w:tbl>
                <w:p w:rsidR="000D7388" w:rsidRDefault="000D7388">
                  <w:pPr>
                    <w:spacing w:after="916" w:line="20" w:lineRule="exact"/>
                  </w:pPr>
                </w:p>
              </w:txbxContent>
            </v:textbox>
            <w10:wrap type="square" anchorx="page" anchory="page"/>
          </v:shape>
        </w:pict>
      </w:r>
      <w:r w:rsidR="007B31A2" w:rsidRPr="00E47581">
        <w:rPr>
          <w:rFonts w:ascii="Arial" w:eastAsia="Arial" w:hAnsi="Arial"/>
          <w:b/>
          <w:color w:val="000000"/>
          <w:spacing w:val="-1"/>
          <w:sz w:val="26"/>
          <w:lang w:val="fr-FR"/>
        </w:rPr>
        <w:t>Communiqué de presse</w:t>
      </w:r>
      <w:r w:rsidR="007B31A2" w:rsidRPr="00E47581">
        <w:rPr>
          <w:rFonts w:ascii="Arial" w:eastAsia="Arial" w:hAnsi="Arial"/>
          <w:b/>
          <w:color w:val="000000"/>
          <w:spacing w:val="-1"/>
          <w:sz w:val="26"/>
          <w:lang w:val="fr-FR"/>
        </w:rPr>
        <w:tab/>
      </w:r>
      <w:r w:rsidR="007B31A2" w:rsidRPr="00E47581">
        <w:rPr>
          <w:rFonts w:ascii="Calibri" w:eastAsia="Calibri" w:hAnsi="Calibri"/>
          <w:b/>
          <w:color w:val="000000"/>
          <w:spacing w:val="-1"/>
          <w:sz w:val="24"/>
          <w:lang w:val="fr-FR"/>
        </w:rPr>
        <w:t>Grenoble, le 22 mars 2018</w:t>
      </w:r>
    </w:p>
    <w:p w:rsidR="000D7388" w:rsidRPr="00E47581" w:rsidRDefault="007B31A2">
      <w:pPr>
        <w:pBdr>
          <w:top w:val="single" w:sz="5" w:space="9" w:color="005FAF"/>
          <w:left w:val="single" w:sz="5" w:space="0" w:color="005FAF"/>
          <w:bottom w:val="single" w:sz="5" w:space="10" w:color="005FAF"/>
          <w:right w:val="single" w:sz="5" w:space="0" w:color="005FAF"/>
        </w:pBdr>
        <w:spacing w:after="811" w:line="273" w:lineRule="exact"/>
        <w:jc w:val="center"/>
        <w:textAlignment w:val="baseline"/>
        <w:rPr>
          <w:rFonts w:ascii="Arial" w:eastAsia="Arial" w:hAnsi="Arial"/>
          <w:b/>
          <w:color w:val="005FAF"/>
          <w:sz w:val="24"/>
          <w:lang w:val="fr-FR"/>
        </w:rPr>
      </w:pPr>
      <w:r w:rsidRPr="00E47581">
        <w:rPr>
          <w:rFonts w:ascii="Arial" w:eastAsia="Arial" w:hAnsi="Arial"/>
          <w:b/>
          <w:color w:val="005FAF"/>
          <w:sz w:val="24"/>
          <w:lang w:val="fr-FR"/>
        </w:rPr>
        <w:t>Le projet de suppression de feux tricolores en ville</w:t>
      </w:r>
      <w:r w:rsidR="00E32B96">
        <w:rPr>
          <w:rFonts w:ascii="Arial" w:eastAsia="Arial" w:hAnsi="Arial"/>
          <w:b/>
          <w:color w:val="005FAF"/>
          <w:sz w:val="24"/>
          <w:lang w:val="fr-FR"/>
        </w:rPr>
        <w:t> </w:t>
      </w:r>
      <w:r w:rsidRPr="00E47581">
        <w:rPr>
          <w:rFonts w:ascii="Arial" w:eastAsia="Arial" w:hAnsi="Arial"/>
          <w:b/>
          <w:color w:val="005FAF"/>
          <w:sz w:val="24"/>
          <w:lang w:val="fr-FR"/>
        </w:rPr>
        <w:t xml:space="preserve">: qu’en est-il de la prise en </w:t>
      </w:r>
      <w:r w:rsidRPr="00E47581">
        <w:rPr>
          <w:rFonts w:ascii="Arial" w:eastAsia="Arial" w:hAnsi="Arial"/>
          <w:b/>
          <w:color w:val="005FAF"/>
          <w:sz w:val="24"/>
          <w:lang w:val="fr-FR"/>
        </w:rPr>
        <w:br/>
        <w:t>compte des personnes vul</w:t>
      </w:r>
      <w:bookmarkStart w:id="0" w:name="_GoBack"/>
      <w:bookmarkEnd w:id="0"/>
      <w:r w:rsidRPr="00E47581">
        <w:rPr>
          <w:rFonts w:ascii="Arial" w:eastAsia="Arial" w:hAnsi="Arial"/>
          <w:b/>
          <w:color w:val="005FAF"/>
          <w:sz w:val="24"/>
          <w:lang w:val="fr-FR"/>
        </w:rPr>
        <w:t>nérables ou en situation de handicap</w:t>
      </w:r>
      <w:r w:rsidR="00E32B96">
        <w:rPr>
          <w:rFonts w:ascii="Arial" w:eastAsia="Arial" w:hAnsi="Arial"/>
          <w:b/>
          <w:color w:val="005FAF"/>
          <w:sz w:val="24"/>
          <w:lang w:val="fr-FR"/>
        </w:rPr>
        <w:t> </w:t>
      </w:r>
      <w:r w:rsidRPr="00E47581">
        <w:rPr>
          <w:rFonts w:ascii="Arial" w:eastAsia="Arial" w:hAnsi="Arial"/>
          <w:b/>
          <w:color w:val="005FAF"/>
          <w:sz w:val="24"/>
          <w:lang w:val="fr-FR"/>
        </w:rPr>
        <w:t>?</w:t>
      </w:r>
    </w:p>
    <w:p w:rsidR="000D7388" w:rsidRPr="00E47581" w:rsidRDefault="007B31A2">
      <w:pPr>
        <w:spacing w:line="268" w:lineRule="exact"/>
        <w:ind w:left="72" w:right="144"/>
        <w:jc w:val="both"/>
        <w:textAlignment w:val="baseline"/>
        <w:rPr>
          <w:rFonts w:ascii="Calibri" w:eastAsia="Calibri" w:hAnsi="Calibri"/>
          <w:color w:val="000000"/>
          <w:lang w:val="fr-FR"/>
        </w:rPr>
      </w:pPr>
      <w:r w:rsidRPr="00E47581">
        <w:rPr>
          <w:rFonts w:ascii="Calibri" w:eastAsia="Calibri" w:hAnsi="Calibri"/>
          <w:color w:val="000000"/>
          <w:lang w:val="fr-FR"/>
        </w:rPr>
        <w:t>Nous pouvions être autonomes, circuler en ville et traverser en toute sécurité grâce notamment aux feux tricolores.</w:t>
      </w:r>
    </w:p>
    <w:p w:rsidR="000D7388" w:rsidRPr="00E47581" w:rsidRDefault="007B31A2">
      <w:pPr>
        <w:spacing w:before="268" w:after="270" w:line="269" w:lineRule="exact"/>
        <w:ind w:left="72" w:right="144"/>
        <w:jc w:val="both"/>
        <w:textAlignment w:val="baseline"/>
        <w:rPr>
          <w:rFonts w:ascii="Calibri" w:eastAsia="Calibri" w:hAnsi="Calibri"/>
          <w:color w:val="000000"/>
          <w:lang w:val="fr-FR"/>
        </w:rPr>
      </w:pPr>
      <w:r w:rsidRPr="00E47581">
        <w:rPr>
          <w:rFonts w:ascii="Calibri" w:eastAsia="Calibri" w:hAnsi="Calibri"/>
          <w:color w:val="000000"/>
          <w:lang w:val="fr-FR"/>
        </w:rPr>
        <w:t>La politique de la ville est aujourd’hui de supprimer nombre de feux tricolores pour «</w:t>
      </w:r>
      <w:r w:rsidR="00E32B96">
        <w:rPr>
          <w:rFonts w:ascii="Calibri" w:eastAsia="Calibri" w:hAnsi="Calibri"/>
          <w:color w:val="000000"/>
          <w:lang w:val="fr-FR"/>
        </w:rPr>
        <w:t> </w:t>
      </w:r>
      <w:r w:rsidRPr="00E47581">
        <w:rPr>
          <w:rFonts w:ascii="Calibri" w:eastAsia="Calibri" w:hAnsi="Calibri"/>
          <w:b/>
          <w:color w:val="000000"/>
          <w:lang w:val="fr-FR"/>
        </w:rPr>
        <w:t>APAISER la circulation</w:t>
      </w:r>
      <w:r w:rsidR="00E32B96">
        <w:rPr>
          <w:rFonts w:ascii="Calibri" w:eastAsia="Calibri" w:hAnsi="Calibri"/>
          <w:b/>
          <w:color w:val="000000"/>
          <w:lang w:val="fr-FR"/>
        </w:rPr>
        <w:t> </w:t>
      </w:r>
      <w:r w:rsidRPr="00E47581">
        <w:rPr>
          <w:rFonts w:ascii="Calibri" w:eastAsia="Calibri" w:hAnsi="Calibri"/>
          <w:color w:val="000000"/>
          <w:lang w:val="fr-FR"/>
        </w:rPr>
        <w:t>», c’est le cas au centre-ville de Grenoble.</w:t>
      </w:r>
    </w:p>
    <w:tbl>
      <w:tblPr>
        <w:tblW w:w="0" w:type="auto"/>
        <w:tblLayout w:type="fixed"/>
        <w:tblCellMar>
          <w:left w:w="0" w:type="dxa"/>
          <w:right w:w="0" w:type="dxa"/>
        </w:tblCellMar>
        <w:tblLook w:val="0000" w:firstRow="0" w:lastRow="0" w:firstColumn="0" w:lastColumn="0" w:noHBand="0" w:noVBand="0"/>
      </w:tblPr>
      <w:tblGrid>
        <w:gridCol w:w="6514"/>
        <w:gridCol w:w="2846"/>
      </w:tblGrid>
      <w:tr w:rsidR="000D7388">
        <w:trPr>
          <w:trHeight w:hRule="exact" w:val="4296"/>
        </w:trPr>
        <w:tc>
          <w:tcPr>
            <w:tcW w:w="6514" w:type="dxa"/>
            <w:tcBorders>
              <w:top w:val="none" w:sz="0" w:space="0" w:color="000000"/>
              <w:left w:val="none" w:sz="0" w:space="0" w:color="000000"/>
              <w:bottom w:val="none" w:sz="0" w:space="0" w:color="000000"/>
              <w:right w:val="none" w:sz="0" w:space="0" w:color="000000"/>
            </w:tcBorders>
          </w:tcPr>
          <w:p w:rsidR="000D7388" w:rsidRPr="00E47581" w:rsidRDefault="007B31A2">
            <w:pPr>
              <w:spacing w:before="38" w:line="226" w:lineRule="exact"/>
              <w:ind w:left="144"/>
              <w:textAlignment w:val="baseline"/>
              <w:rPr>
                <w:rFonts w:ascii="Calibri" w:eastAsia="Calibri" w:hAnsi="Calibri"/>
                <w:b/>
                <w:color w:val="000000"/>
                <w:lang w:val="fr-FR"/>
              </w:rPr>
            </w:pPr>
            <w:r w:rsidRPr="00E47581">
              <w:rPr>
                <w:rFonts w:ascii="Calibri" w:eastAsia="Calibri" w:hAnsi="Calibri"/>
                <w:b/>
                <w:color w:val="000000"/>
                <w:lang w:val="fr-FR"/>
              </w:rPr>
              <w:t>Apaiser la circulation peut</w:t>
            </w:r>
            <w:r w:rsidR="00E47581" w:rsidRPr="00E47581">
              <w:rPr>
                <w:rFonts w:ascii="Calibri" w:eastAsia="Calibri" w:hAnsi="Calibri"/>
                <w:b/>
                <w:color w:val="000000"/>
                <w:lang w:val="fr-FR"/>
              </w:rPr>
              <w:t>-être,</w:t>
            </w:r>
            <w:r w:rsidRPr="00E47581">
              <w:rPr>
                <w:rFonts w:ascii="Calibri" w:eastAsia="Calibri" w:hAnsi="Calibri"/>
                <w:b/>
                <w:color w:val="000000"/>
                <w:lang w:val="fr-FR"/>
              </w:rPr>
              <w:t xml:space="preserve"> mais certainement pas les piétons.</w:t>
            </w:r>
          </w:p>
          <w:p w:rsidR="000D7388" w:rsidRPr="00E47581" w:rsidRDefault="007B31A2">
            <w:pPr>
              <w:spacing w:before="263" w:line="269" w:lineRule="exact"/>
              <w:ind w:left="144" w:right="144"/>
              <w:jc w:val="both"/>
              <w:textAlignment w:val="baseline"/>
              <w:rPr>
                <w:rFonts w:ascii="Calibri" w:eastAsia="Calibri" w:hAnsi="Calibri"/>
                <w:color w:val="000000"/>
                <w:spacing w:val="-3"/>
                <w:lang w:val="fr-FR"/>
              </w:rPr>
            </w:pPr>
            <w:r w:rsidRPr="00E47581">
              <w:rPr>
                <w:rFonts w:ascii="Calibri" w:eastAsia="Calibri" w:hAnsi="Calibri"/>
                <w:color w:val="000000"/>
                <w:spacing w:val="-3"/>
                <w:lang w:val="fr-FR"/>
              </w:rPr>
              <w:t>Les associations représentatives des personnes en situation de handicap signataires de ce communiqué de presse ont alerté les élus de la Grenoble-Alpes Métropole et expliqué que ces feux permettent de traverser des rues à plusieurs files en sécurité, grâce au signal visuel pour beaucoup et au signal sonore pour les personnes non voyantes.</w:t>
            </w:r>
          </w:p>
          <w:p w:rsidR="000D7388" w:rsidRPr="00E47581" w:rsidRDefault="007B31A2">
            <w:pPr>
              <w:spacing w:before="267" w:line="268" w:lineRule="exact"/>
              <w:ind w:left="144" w:right="144"/>
              <w:jc w:val="both"/>
              <w:textAlignment w:val="baseline"/>
              <w:rPr>
                <w:rFonts w:ascii="Calibri" w:eastAsia="Calibri" w:hAnsi="Calibri"/>
                <w:color w:val="000000"/>
                <w:lang w:val="fr-FR"/>
              </w:rPr>
            </w:pPr>
            <w:r w:rsidRPr="00E47581">
              <w:rPr>
                <w:rFonts w:ascii="Calibri" w:eastAsia="Calibri" w:hAnsi="Calibri"/>
                <w:color w:val="000000"/>
                <w:lang w:val="fr-FR"/>
              </w:rPr>
              <w:t xml:space="preserve">Cette politique de suppression des temporisations par feux est anxiogène, </w:t>
            </w:r>
            <w:proofErr w:type="spellStart"/>
            <w:r w:rsidRPr="00E47581">
              <w:rPr>
                <w:rFonts w:ascii="Calibri" w:eastAsia="Calibri" w:hAnsi="Calibri"/>
                <w:color w:val="000000"/>
                <w:lang w:val="fr-FR"/>
              </w:rPr>
              <w:t>accidentogène</w:t>
            </w:r>
            <w:proofErr w:type="spellEnd"/>
            <w:r w:rsidRPr="00E47581">
              <w:rPr>
                <w:rFonts w:ascii="Calibri" w:eastAsia="Calibri" w:hAnsi="Calibri"/>
                <w:color w:val="000000"/>
                <w:lang w:val="fr-FR"/>
              </w:rPr>
              <w:t>, elle met en grande difficulté les personnes sourdes, les personnes ayant un handicap mental, les personnes âgées, les enfants et toute personne ayant besoin de repères stables et de temps pour prendre la décision de traverser. Elle supprime la possibilité de traverser aux personnes malvoyantes et aveugles qui ne peuvent percevoir l’arrivée des véhicules, des vélos ni comprendre si des véhicules s’arrêtent pour eux ou non.</w:t>
            </w:r>
          </w:p>
        </w:tc>
        <w:tc>
          <w:tcPr>
            <w:tcW w:w="2846" w:type="dxa"/>
            <w:tcBorders>
              <w:top w:val="none" w:sz="0" w:space="0" w:color="000000"/>
              <w:left w:val="none" w:sz="0" w:space="0" w:color="000000"/>
              <w:bottom w:val="none" w:sz="0" w:space="0" w:color="000000"/>
              <w:right w:val="none" w:sz="0" w:space="0" w:color="000000"/>
            </w:tcBorders>
          </w:tcPr>
          <w:p w:rsidR="000D7388" w:rsidRDefault="007B31A2">
            <w:pPr>
              <w:ind w:right="130"/>
              <w:textAlignment w:val="baseline"/>
            </w:pPr>
            <w:r>
              <w:rPr>
                <w:noProof/>
              </w:rPr>
              <w:drawing>
                <wp:inline distT="0" distB="0" distL="0" distR="0">
                  <wp:extent cx="1724660" cy="2606040"/>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7"/>
                          <a:stretch>
                            <a:fillRect/>
                          </a:stretch>
                        </pic:blipFill>
                        <pic:spPr>
                          <a:xfrm>
                            <a:off x="0" y="0"/>
                            <a:ext cx="1724660" cy="2606040"/>
                          </a:xfrm>
                          <a:prstGeom prst="rect">
                            <a:avLst/>
                          </a:prstGeom>
                        </pic:spPr>
                      </pic:pic>
                    </a:graphicData>
                  </a:graphic>
                </wp:inline>
              </w:drawing>
            </w:r>
          </w:p>
        </w:tc>
      </w:tr>
    </w:tbl>
    <w:p w:rsidR="000D7388" w:rsidRDefault="000D7388">
      <w:pPr>
        <w:spacing w:after="245" w:line="20" w:lineRule="exact"/>
      </w:pPr>
    </w:p>
    <w:p w:rsidR="000D7388" w:rsidRPr="00E47581" w:rsidRDefault="007B31A2">
      <w:pPr>
        <w:spacing w:before="2" w:line="268" w:lineRule="exact"/>
        <w:ind w:left="72" w:right="144"/>
        <w:jc w:val="both"/>
        <w:textAlignment w:val="baseline"/>
        <w:rPr>
          <w:rFonts w:ascii="Calibri" w:eastAsia="Calibri" w:hAnsi="Calibri"/>
          <w:b/>
          <w:color w:val="000000"/>
          <w:lang w:val="fr-FR"/>
        </w:rPr>
      </w:pPr>
      <w:r w:rsidRPr="00E47581">
        <w:rPr>
          <w:rFonts w:ascii="Calibri" w:eastAsia="Calibri" w:hAnsi="Calibri"/>
          <w:b/>
          <w:color w:val="000000"/>
          <w:lang w:val="fr-FR"/>
        </w:rPr>
        <w:t xml:space="preserve">Aussi, nous vous invitons à un test pour que vous puissiez vous rendre compte des difficultés engendrées. Venez nous rejoindre le </w:t>
      </w:r>
      <w:r w:rsidRPr="00E47581">
        <w:rPr>
          <w:rFonts w:ascii="Calibri" w:eastAsia="Calibri" w:hAnsi="Calibri"/>
          <w:b/>
          <w:color w:val="000000"/>
          <w:u w:val="single"/>
          <w:lang w:val="fr-FR"/>
        </w:rPr>
        <w:t xml:space="preserve">mercredi 28 mars à 17h00 Place Victor Hugo au feu tricolore devant la rue de Bonne. </w:t>
      </w:r>
    </w:p>
    <w:p w:rsidR="000D7388" w:rsidRPr="00E47581" w:rsidRDefault="00E47581">
      <w:pPr>
        <w:spacing w:before="805" w:line="269" w:lineRule="exact"/>
        <w:jc w:val="center"/>
        <w:textAlignment w:val="baseline"/>
        <w:rPr>
          <w:rFonts w:ascii="Calibri" w:eastAsia="Calibri" w:hAnsi="Calibri"/>
          <w:color w:val="000000"/>
          <w:lang w:val="fr-FR"/>
        </w:rPr>
      </w:pPr>
      <w:r>
        <w:rPr>
          <w:rFonts w:ascii="Calibri" w:eastAsia="Calibri" w:hAnsi="Calibri"/>
          <w:color w:val="000000"/>
          <w:lang w:val="fr-FR"/>
        </w:rPr>
        <w:t>À</w:t>
      </w:r>
      <w:r w:rsidR="007B31A2" w:rsidRPr="00E47581">
        <w:rPr>
          <w:rFonts w:ascii="Calibri" w:eastAsia="Calibri" w:hAnsi="Calibri"/>
          <w:color w:val="000000"/>
          <w:lang w:val="fr-FR"/>
        </w:rPr>
        <w:t xml:space="preserve"> votre disposition pour toute information complémentaire</w:t>
      </w:r>
      <w:r w:rsidR="00E32B96">
        <w:rPr>
          <w:rFonts w:ascii="Calibri" w:eastAsia="Calibri" w:hAnsi="Calibri"/>
          <w:color w:val="000000"/>
          <w:lang w:val="fr-FR"/>
        </w:rPr>
        <w:t> </w:t>
      </w:r>
      <w:r w:rsidR="007B31A2" w:rsidRPr="00E47581">
        <w:rPr>
          <w:rFonts w:ascii="Calibri" w:eastAsia="Calibri" w:hAnsi="Calibri"/>
          <w:color w:val="000000"/>
          <w:lang w:val="fr-FR"/>
        </w:rPr>
        <w:t xml:space="preserve">: </w:t>
      </w:r>
      <w:r w:rsidR="007B31A2" w:rsidRPr="00E47581">
        <w:rPr>
          <w:rFonts w:ascii="Calibri" w:eastAsia="Calibri" w:hAnsi="Calibri"/>
          <w:color w:val="000000"/>
          <w:lang w:val="fr-FR"/>
        </w:rPr>
        <w:br/>
        <w:t xml:space="preserve">Françoise </w:t>
      </w:r>
      <w:proofErr w:type="spellStart"/>
      <w:r w:rsidR="007B31A2" w:rsidRPr="00E47581">
        <w:rPr>
          <w:rFonts w:ascii="Calibri" w:eastAsia="Calibri" w:hAnsi="Calibri"/>
          <w:color w:val="000000"/>
          <w:lang w:val="fr-FR"/>
        </w:rPr>
        <w:t>Lloret</w:t>
      </w:r>
      <w:proofErr w:type="spellEnd"/>
      <w:r w:rsidR="00E32B96">
        <w:rPr>
          <w:rFonts w:ascii="Calibri" w:eastAsia="Calibri" w:hAnsi="Calibri"/>
          <w:color w:val="000000"/>
          <w:lang w:val="fr-FR"/>
        </w:rPr>
        <w:t> </w:t>
      </w:r>
      <w:r w:rsidR="007B31A2" w:rsidRPr="00E47581">
        <w:rPr>
          <w:rFonts w:ascii="Calibri" w:eastAsia="Calibri" w:hAnsi="Calibri"/>
          <w:color w:val="000000"/>
          <w:lang w:val="fr-FR"/>
        </w:rPr>
        <w:t>: 06</w:t>
      </w:r>
      <w:r w:rsidR="00E32B96">
        <w:rPr>
          <w:rFonts w:ascii="Calibri" w:eastAsia="Calibri" w:hAnsi="Calibri"/>
          <w:color w:val="000000"/>
          <w:lang w:val="fr-FR"/>
        </w:rPr>
        <w:t> 82 57 17 </w:t>
      </w:r>
      <w:r w:rsidR="007B31A2" w:rsidRPr="00E47581">
        <w:rPr>
          <w:rFonts w:ascii="Calibri" w:eastAsia="Calibri" w:hAnsi="Calibri"/>
          <w:color w:val="000000"/>
          <w:lang w:val="fr-FR"/>
        </w:rPr>
        <w:t>62</w:t>
      </w:r>
    </w:p>
    <w:p w:rsidR="000D7388" w:rsidRPr="00E47581" w:rsidRDefault="007B31A2">
      <w:pPr>
        <w:spacing w:before="38" w:line="225" w:lineRule="exact"/>
        <w:jc w:val="center"/>
        <w:textAlignment w:val="baseline"/>
        <w:rPr>
          <w:rFonts w:ascii="Calibri" w:eastAsia="Calibri" w:hAnsi="Calibri"/>
          <w:color w:val="000000"/>
          <w:lang w:val="fr-FR"/>
        </w:rPr>
      </w:pPr>
      <w:r w:rsidRPr="00E47581">
        <w:rPr>
          <w:rFonts w:ascii="Calibri" w:eastAsia="Calibri" w:hAnsi="Calibri"/>
          <w:color w:val="000000"/>
          <w:lang w:val="fr-FR"/>
        </w:rPr>
        <w:t xml:space="preserve">Marie-Christine </w:t>
      </w:r>
      <w:proofErr w:type="spellStart"/>
      <w:r w:rsidRPr="00E47581">
        <w:rPr>
          <w:rFonts w:ascii="Calibri" w:eastAsia="Calibri" w:hAnsi="Calibri"/>
          <w:color w:val="000000"/>
          <w:lang w:val="fr-FR"/>
        </w:rPr>
        <w:t>Pineri</w:t>
      </w:r>
      <w:proofErr w:type="spellEnd"/>
      <w:r w:rsidR="00E32B96">
        <w:rPr>
          <w:rFonts w:ascii="Calibri" w:eastAsia="Calibri" w:hAnsi="Calibri"/>
          <w:color w:val="000000"/>
          <w:lang w:val="fr-FR"/>
        </w:rPr>
        <w:t> </w:t>
      </w:r>
      <w:r w:rsidRPr="00E47581">
        <w:rPr>
          <w:rFonts w:ascii="Calibri" w:eastAsia="Calibri" w:hAnsi="Calibri"/>
          <w:color w:val="000000"/>
          <w:lang w:val="fr-FR"/>
        </w:rPr>
        <w:t>:</w:t>
      </w:r>
      <w:hyperlink r:id="rId8">
        <w:r w:rsidRPr="00E47581">
          <w:rPr>
            <w:rFonts w:ascii="Calibri" w:eastAsia="Calibri" w:hAnsi="Calibri"/>
            <w:color w:val="0000FF"/>
            <w:u w:val="single"/>
            <w:lang w:val="fr-FR"/>
          </w:rPr>
          <w:t xml:space="preserve"> mariechristinepineri@gmail.com</w:t>
        </w:r>
      </w:hyperlink>
      <w:r w:rsidRPr="00E47581">
        <w:rPr>
          <w:rFonts w:ascii="Calibri" w:eastAsia="Calibri" w:hAnsi="Calibri"/>
          <w:color w:val="0000FF"/>
          <w:u w:val="single"/>
          <w:lang w:val="fr-FR"/>
        </w:rPr>
        <w:t xml:space="preserve"> </w:t>
      </w:r>
      <w:r w:rsidRPr="00E47581">
        <w:rPr>
          <w:rFonts w:ascii="Calibri" w:eastAsia="Calibri" w:hAnsi="Calibri"/>
          <w:color w:val="0000FF"/>
          <w:lang w:val="fr-FR"/>
        </w:rPr>
        <w:t xml:space="preserve"> </w:t>
      </w:r>
    </w:p>
    <w:sectPr w:rsidR="000D7388" w:rsidRPr="00E47581">
      <w:pgSz w:w="11909" w:h="16843"/>
      <w:pgMar w:top="4023" w:right="1253" w:bottom="1107"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 w:name="Century Gothic">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0D7388"/>
    <w:rsid w:val="000D7388"/>
    <w:rsid w:val="00677E07"/>
    <w:rsid w:val="007B31A2"/>
    <w:rsid w:val="00E32B96"/>
    <w:rsid w:val="00E475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60FFCCD-678E-C347-BD7D-6C7E2CF7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ariechristinepineri@gmail.com" TargetMode="External"/><Relationship Id="rId3" Type="http://schemas.openxmlformats.org/officeDocument/2006/relationships/webSettings" Target="webSettings.xml"/><Relationship Id="rId7" Type="http://schemas.openxmlformats.org/officeDocument/2006/relationships/image" Target="media/image4.jpg"/><Relationship Id="fId" Type="http://schemas.openxmlformats.org/wordprocessingml/2006/fontTable" Target="fontTable0.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280</Words>
  <Characters>1540</Characters>
  <Application>Microsoft Office Word</Application>
  <DocSecurity>0</DocSecurity>
  <Lines>12</Lines>
  <Paragraphs>3</Paragraphs>
  <ScaleCrop>false</ScaleCrop>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Henri Galy</cp:lastModifiedBy>
  <cp:revision>3</cp:revision>
  <dcterms:created xsi:type="dcterms:W3CDTF">2018-03-25T16:57:00Z</dcterms:created>
  <dcterms:modified xsi:type="dcterms:W3CDTF">2018-03-26T14:13:00Z</dcterms:modified>
</cp:coreProperties>
</file>